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C5C4" w14:textId="77777777" w:rsidR="000507CB" w:rsidRDefault="00746412" w:rsidP="00E2631A">
      <w:pPr>
        <w:pStyle w:val="Textbody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Udostępnianie informacji geologicznej</w:t>
      </w:r>
    </w:p>
    <w:p w14:paraId="12AEDA4E" w14:textId="77777777" w:rsidR="000507CB" w:rsidRDefault="000507CB" w:rsidP="00E2631A">
      <w:pPr>
        <w:pStyle w:val="Textbody"/>
        <w:jc w:val="both"/>
        <w:rPr>
          <w:rFonts w:ascii="Arial" w:hAnsi="Arial"/>
          <w:sz w:val="20"/>
          <w:szCs w:val="20"/>
        </w:rPr>
      </w:pPr>
    </w:p>
    <w:p w14:paraId="58F99D9A" w14:textId="77777777" w:rsidR="000507CB" w:rsidRDefault="00746412" w:rsidP="00E2631A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Zgodnie z art. 98 ust. Prawa geologicznego i górniczego (PGG) organy administracji geologicznej oraz państwowa służba geologiczna gromadzą, ewidencjonują, archiwizują, chronią oraz  udostępniają informację geologiczną zgromadzoną w prowadzonych przez nie archiwach.</w:t>
      </w:r>
    </w:p>
    <w:p w14:paraId="7B2010C8" w14:textId="3B55A8D5" w:rsidR="000507CB" w:rsidRDefault="00746412" w:rsidP="00E2631A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Szczegółowe zasady udostępniania informacji geologicznej reguluje rozporządzenie Ministra Środowiska </w:t>
      </w:r>
      <w:r w:rsidR="00E2631A"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z dnia 30 października 2017 r. w sprawie gromadzenia i udostępniania informacji geologicznej. Akt ten</w:t>
      </w:r>
      <w:r w:rsidR="00E2631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wprowadza dwie formy zapoznania się z informacją geologiczną:</w:t>
      </w:r>
    </w:p>
    <w:p w14:paraId="1830C1D1" w14:textId="77777777" w:rsidR="000507CB" w:rsidRDefault="00746412" w:rsidP="00E2631A">
      <w:pPr>
        <w:pStyle w:val="Textbody"/>
        <w:numPr>
          <w:ilvl w:val="0"/>
          <w:numId w:val="1"/>
        </w:numPr>
        <w:jc w:val="both"/>
      </w:pPr>
      <w:r>
        <w:rPr>
          <w:rStyle w:val="StrongEmphasis"/>
          <w:rFonts w:ascii="Arial" w:hAnsi="Arial"/>
          <w:sz w:val="20"/>
          <w:szCs w:val="20"/>
        </w:rPr>
        <w:t>WGLĄD</w:t>
      </w:r>
      <w:r>
        <w:rPr>
          <w:rFonts w:ascii="Arial" w:hAnsi="Arial"/>
          <w:sz w:val="20"/>
          <w:szCs w:val="20"/>
        </w:rPr>
        <w:t xml:space="preserve"> – możliwość nieodpłatnego zapoznania się ze zgromadzoną informacją geologiczną, bez prawa dokonywania reprodukcji, odpisu, odrysu, wydruku, fotokopii lub kopii w postaci elektronicznej dokumentów i zbiorów danych, a także bez prawa pobierania próbek,</w:t>
      </w:r>
    </w:p>
    <w:p w14:paraId="21883DD4" w14:textId="77777777" w:rsidR="000507CB" w:rsidRDefault="00746412" w:rsidP="00E2631A">
      <w:pPr>
        <w:pStyle w:val="Textbody"/>
        <w:numPr>
          <w:ilvl w:val="0"/>
          <w:numId w:val="1"/>
        </w:numPr>
        <w:jc w:val="both"/>
      </w:pPr>
      <w:r>
        <w:rPr>
          <w:rStyle w:val="StrongEmphasis"/>
          <w:rFonts w:ascii="Arial" w:hAnsi="Arial"/>
          <w:sz w:val="20"/>
          <w:szCs w:val="20"/>
        </w:rPr>
        <w:t>PEŁNE UDOSTĘPNIENIE</w:t>
      </w:r>
      <w:r>
        <w:rPr>
          <w:rFonts w:ascii="Arial" w:hAnsi="Arial"/>
          <w:sz w:val="20"/>
          <w:szCs w:val="20"/>
        </w:rPr>
        <w:t xml:space="preserve"> – możliwość wykonania reprodukcji, odpisu, odrysu, wydruku, fotokopii lub kopii w postaci elektronicznej dokumentów i zbiorów danych oraz pobrania próbek geologicznych.</w:t>
      </w:r>
    </w:p>
    <w:p w14:paraId="02B8ABC3" w14:textId="77777777" w:rsidR="000507CB" w:rsidRDefault="00746412" w:rsidP="00E2631A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Wgląd i udostępnienie następuje na wniosek zainteresowanego podmiotu, skierowany do właściwego organu administracji geologicznej lub PIG-PIB, w którym określa się:</w:t>
      </w:r>
    </w:p>
    <w:p w14:paraId="01A1FEBB" w14:textId="77777777" w:rsidR="000507CB" w:rsidRDefault="00746412" w:rsidP="00E2631A">
      <w:pPr>
        <w:pStyle w:val="Textbody"/>
        <w:numPr>
          <w:ilvl w:val="0"/>
          <w:numId w:val="2"/>
        </w:numPr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dane zainteresowanego podmiotu,</w:t>
      </w:r>
    </w:p>
    <w:p w14:paraId="3EB609D4" w14:textId="77777777" w:rsidR="000507CB" w:rsidRDefault="00746412" w:rsidP="00E2631A">
      <w:pPr>
        <w:pStyle w:val="Textbody"/>
        <w:numPr>
          <w:ilvl w:val="0"/>
          <w:numId w:val="2"/>
        </w:numPr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nazwę dokumentu, zbioru danych lub informacje zawarte w metryce próbki, której dotyczy wniosek,</w:t>
      </w:r>
    </w:p>
    <w:p w14:paraId="68A3D5D6" w14:textId="77777777" w:rsidR="000507CB" w:rsidRDefault="00746412" w:rsidP="00E2631A">
      <w:pPr>
        <w:pStyle w:val="Textbody"/>
        <w:numPr>
          <w:ilvl w:val="0"/>
          <w:numId w:val="2"/>
        </w:numPr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sposób udostępnienia informacji geologicznej,</w:t>
      </w:r>
    </w:p>
    <w:p w14:paraId="704F58F1" w14:textId="77777777" w:rsidR="000507CB" w:rsidRDefault="00746412" w:rsidP="00E2631A">
      <w:pPr>
        <w:pStyle w:val="Textbody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cel wykorzystania informacji geologicznej.</w:t>
      </w:r>
    </w:p>
    <w:p w14:paraId="2F140C77" w14:textId="77777777" w:rsidR="000507CB" w:rsidRDefault="00746412" w:rsidP="00E2631A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przypadku, gdy przedmiotem udostępnienia są:</w:t>
      </w:r>
    </w:p>
    <w:p w14:paraId="2F2EEEE6" w14:textId="77777777" w:rsidR="000507CB" w:rsidRDefault="00746412" w:rsidP="00E2631A">
      <w:pPr>
        <w:pStyle w:val="Textbody"/>
        <w:numPr>
          <w:ilvl w:val="0"/>
          <w:numId w:val="3"/>
        </w:numPr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dane geologiczne (dotyczących kopalin, o których mowa w art. 10 ust. 1 i 2 PGG, z otworów wiertniczych służących rozpoznaniu budowy głębokiego podłoża lub wykonania regionalnych badań budowy geologicznej kraju oraz stanowiących wyniki pomiarów geofizycznych),</w:t>
      </w:r>
    </w:p>
    <w:p w14:paraId="368FB3D7" w14:textId="77777777" w:rsidR="000507CB" w:rsidRDefault="00746412" w:rsidP="00E2631A">
      <w:pPr>
        <w:pStyle w:val="Textbody"/>
        <w:numPr>
          <w:ilvl w:val="0"/>
          <w:numId w:val="3"/>
        </w:numPr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próbki geologiczne,</w:t>
      </w:r>
    </w:p>
    <w:p w14:paraId="41F3011E" w14:textId="603AD4B6" w:rsidR="000507CB" w:rsidRDefault="00746412" w:rsidP="00E2631A">
      <w:pPr>
        <w:pStyle w:val="Textbody"/>
        <w:numPr>
          <w:ilvl w:val="0"/>
          <w:numId w:val="3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dokumentacje geologiczne, które mają być wykorzystane w celu wykonywania działalności </w:t>
      </w:r>
      <w:r w:rsidR="00E2631A"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w zakresie: wydobywania kopalin ze złóż, poszukiwania i rozpoznawania węglowodorów oraz wydobywania węglowodorów, podziemnego bezzbiornikowego magazynowania substancji, podziemnego składowania odpadów oraz podziemnego składowania dwutlenku węgla, w jakim wymagane jest pozwolenie wodnoprawne,</w:t>
      </w:r>
    </w:p>
    <w:p w14:paraId="227EB6B7" w14:textId="77777777" w:rsidR="000507CB" w:rsidRDefault="00746412" w:rsidP="00E2631A">
      <w:pPr>
        <w:pStyle w:val="Textbody"/>
        <w:jc w:val="both"/>
      </w:pPr>
      <w:r>
        <w:rPr>
          <w:rFonts w:ascii="Arial" w:hAnsi="Arial"/>
          <w:sz w:val="20"/>
          <w:szCs w:val="20"/>
        </w:rPr>
        <w:t xml:space="preserve">konieczne jest dołączenie do wniosku </w:t>
      </w:r>
      <w:r>
        <w:rPr>
          <w:rStyle w:val="StrongEmphasis"/>
          <w:rFonts w:ascii="Arial" w:hAnsi="Arial"/>
          <w:sz w:val="20"/>
          <w:szCs w:val="20"/>
        </w:rPr>
        <w:t>umowy o korzystanie z informacji geologicznej</w:t>
      </w:r>
      <w:r>
        <w:rPr>
          <w:rFonts w:ascii="Arial" w:hAnsi="Arial"/>
          <w:sz w:val="20"/>
          <w:szCs w:val="20"/>
        </w:rPr>
        <w:t xml:space="preserve"> za wynagrodzeniem zawartej ze Skarbem Państwa reprezentowanym przez odpowiednio: Ministra Środowiska lub marszałka województwa.</w:t>
      </w:r>
    </w:p>
    <w:p w14:paraId="723443A6" w14:textId="77777777" w:rsidR="000507CB" w:rsidRDefault="00746412" w:rsidP="00E2631A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Natomiast w przypadku, gdy wyłączne prawo do korzystania z informacji geologicznej określonej we wniosku przysługuje podmiotom innym niż Skarb Państwa, do wniosku o udostępnienie dołącza się pisemną zgodę podmiotu, któremu takie prawo przysługuje.</w:t>
      </w:r>
    </w:p>
    <w:p w14:paraId="5A1427D9" w14:textId="77777777" w:rsidR="000507CB" w:rsidRDefault="00746412" w:rsidP="00E2631A">
      <w:pPr>
        <w:pStyle w:val="Textbody"/>
        <w:jc w:val="both"/>
      </w:pPr>
      <w:r>
        <w:rPr>
          <w:rStyle w:val="StrongEmphasis"/>
          <w:rFonts w:ascii="Arial" w:hAnsi="Arial"/>
          <w:sz w:val="20"/>
          <w:szCs w:val="20"/>
        </w:rPr>
        <w:t>Nie podlega wglądowi ani udostępnieniu informacja geologiczna pochodząca z bieżącego dokumentowania przebiegu robót geologicznych i ich wyników do czasu zakończenia działalności będącej źródłem tej informacji.</w:t>
      </w:r>
    </w:p>
    <w:p w14:paraId="52498314" w14:textId="4BFF2215" w:rsidR="000507CB" w:rsidRDefault="00746412" w:rsidP="00E2631A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 udostępnienie informacji geologicznej pobierana jest opłata uwzględniającą koszty utrwalenia </w:t>
      </w:r>
      <w:r w:rsidR="00E2631A"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i przekazania informacji, z zastrzeżeniem możliwości odstąpienia od pobierania opłat w sytuacji, gdy koszty pobrania i zaksięgowania opłaty byłyby wyższe niż opłata uiszczana z tego tytułu. Za udostępnienie informacji geologicznej wymagającej dodatkowego przetworzenia pobierana jest opłata uwzględniająca koszty przetworzenia, przygotowania, utrwalenia i przekazania informacji w określony sposób lub określonej formie.</w:t>
      </w:r>
    </w:p>
    <w:p w14:paraId="69366889" w14:textId="77777777" w:rsidR="000507CB" w:rsidRDefault="00746412" w:rsidP="00E2631A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Organy administracji geologicznej oraz państwowa służba geologiczna są obowiązane udostępniać nieodpłatnie zgromadzone informacje geologiczne organom administracji publicznej w zakresie niezbędnym do wykonania ich zadań ustawowych. Udostępnione informacje nie mogą być wykorzystywane w celach komercyjnych ani przekazywane innym podmiotom.</w:t>
      </w:r>
    </w:p>
    <w:p w14:paraId="67553A8A" w14:textId="77777777" w:rsidR="000507CB" w:rsidRDefault="000507CB" w:rsidP="00E2631A">
      <w:pPr>
        <w:pStyle w:val="Standard"/>
        <w:jc w:val="both"/>
        <w:rPr>
          <w:rFonts w:ascii="Arial" w:hAnsi="Arial"/>
          <w:sz w:val="20"/>
          <w:szCs w:val="20"/>
        </w:rPr>
      </w:pPr>
    </w:p>
    <w:sectPr w:rsidR="000507C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3422" w14:textId="77777777" w:rsidR="00814A3C" w:rsidRDefault="00814A3C">
      <w:r>
        <w:separator/>
      </w:r>
    </w:p>
  </w:endnote>
  <w:endnote w:type="continuationSeparator" w:id="0">
    <w:p w14:paraId="75E4CED4" w14:textId="77777777" w:rsidR="00814A3C" w:rsidRDefault="0081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AC36" w14:textId="77777777" w:rsidR="00814A3C" w:rsidRDefault="00814A3C" w:rsidP="005062F2">
      <w:pPr>
        <w:jc w:val="center"/>
      </w:pPr>
    </w:p>
  </w:footnote>
  <w:footnote w:type="continuationSeparator" w:id="0">
    <w:p w14:paraId="641E1228" w14:textId="77777777" w:rsidR="00814A3C" w:rsidRDefault="00814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D698E"/>
    <w:multiLevelType w:val="multilevel"/>
    <w:tmpl w:val="5F28DA4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651944B3"/>
    <w:multiLevelType w:val="multilevel"/>
    <w:tmpl w:val="8920F252"/>
    <w:lvl w:ilvl="0">
      <w:start w:val="1"/>
      <w:numFmt w:val="decimal"/>
      <w:lvlText w:val="%1."/>
      <w:lvlJc w:val="left"/>
      <w:pPr>
        <w:ind w:left="707" w:hanging="283"/>
      </w:pPr>
      <w:rPr>
        <w:rFonts w:ascii="Arial" w:hAnsi="Arial"/>
        <w:sz w:val="18"/>
        <w:szCs w:val="18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ascii="Arial" w:hAnsi="Arial"/>
        <w:sz w:val="18"/>
        <w:szCs w:val="18"/>
      </w:rPr>
    </w:lvl>
  </w:abstractNum>
  <w:abstractNum w:abstractNumId="2" w15:restartNumberingAfterBreak="0">
    <w:nsid w:val="6D482F88"/>
    <w:multiLevelType w:val="multilevel"/>
    <w:tmpl w:val="6D42195A"/>
    <w:lvl w:ilvl="0">
      <w:start w:val="1"/>
      <w:numFmt w:val="decimal"/>
      <w:lvlText w:val="%1."/>
      <w:lvlJc w:val="left"/>
      <w:pPr>
        <w:ind w:left="707" w:hanging="283"/>
      </w:pPr>
      <w:rPr>
        <w:rFonts w:ascii="Arial" w:hAnsi="Arial"/>
        <w:sz w:val="18"/>
        <w:szCs w:val="18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ascii="Arial" w:hAnsi="Arial"/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7CB"/>
    <w:rsid w:val="000507CB"/>
    <w:rsid w:val="003A50D6"/>
    <w:rsid w:val="005062F2"/>
    <w:rsid w:val="00614DBF"/>
    <w:rsid w:val="00746412"/>
    <w:rsid w:val="00814A3C"/>
    <w:rsid w:val="00E2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F49B"/>
  <w15:docId w15:val="{7715FC9B-EF1F-6D45-818C-3BF88007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rFonts w:ascii="Arial" w:hAnsi="Arial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Gilowska</dc:creator>
  <cp:keywords/>
  <cp:lastModifiedBy>Dominika Chmiel</cp:lastModifiedBy>
  <cp:revision>3</cp:revision>
  <dcterms:created xsi:type="dcterms:W3CDTF">2019-09-23T17:31:00Z</dcterms:created>
  <dcterms:modified xsi:type="dcterms:W3CDTF">2021-08-24T09:23:00Z</dcterms:modified>
</cp:coreProperties>
</file>